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D1" w:rsidRDefault="00CA5CAD" w:rsidP="00686AD1">
      <w:pPr>
        <w:jc w:val="center"/>
        <w:rPr>
          <w:b/>
        </w:rPr>
      </w:pPr>
      <w:r>
        <w:rPr>
          <w:b/>
        </w:rPr>
        <w:t>C</w:t>
      </w:r>
      <w:r w:rsidR="001C4798">
        <w:rPr>
          <w:b/>
        </w:rPr>
        <w:t>uatro</w:t>
      </w:r>
      <w:r w:rsidR="0053024D">
        <w:rPr>
          <w:b/>
        </w:rPr>
        <w:t xml:space="preserve"> argumentos para</w:t>
      </w:r>
      <w:r w:rsidR="001C4798">
        <w:rPr>
          <w:b/>
        </w:rPr>
        <w:t xml:space="preserve"> declarar</w:t>
      </w:r>
      <w:r w:rsidR="0053024D">
        <w:rPr>
          <w:b/>
        </w:rPr>
        <w:t xml:space="preserve"> la</w:t>
      </w:r>
      <w:r w:rsidR="002F61C8">
        <w:rPr>
          <w:b/>
        </w:rPr>
        <w:t xml:space="preserve"> inconstitucionalidad</w:t>
      </w:r>
      <w:r w:rsidR="0053024D">
        <w:rPr>
          <w:b/>
        </w:rPr>
        <w:t xml:space="preserve"> de la ley 30230</w:t>
      </w:r>
      <w:r w:rsidR="002F61C8">
        <w:rPr>
          <w:b/>
        </w:rPr>
        <w:t xml:space="preserve"> </w:t>
      </w:r>
    </w:p>
    <w:p w:rsidR="001C4798" w:rsidRPr="00E77C71" w:rsidRDefault="001C4798" w:rsidP="001C4798">
      <w:pPr>
        <w:jc w:val="right"/>
        <w:rPr>
          <w:b/>
        </w:rPr>
      </w:pPr>
      <w:r>
        <w:rPr>
          <w:b/>
        </w:rPr>
        <w:t>Por Luis Hallazi</w:t>
      </w:r>
      <w:r w:rsidR="00A76AC6">
        <w:rPr>
          <w:b/>
        </w:rPr>
        <w:t>*</w:t>
      </w:r>
    </w:p>
    <w:p w:rsidR="00686AD1" w:rsidRPr="001D4781" w:rsidRDefault="001D4781" w:rsidP="00686AD1">
      <w:pPr>
        <w:jc w:val="both"/>
      </w:pPr>
      <w:r>
        <w:t xml:space="preserve">La Ley 30230, </w:t>
      </w:r>
      <w:r>
        <w:rPr>
          <w:i/>
        </w:rPr>
        <w:t>L</w:t>
      </w:r>
      <w:r w:rsidRPr="001D4781">
        <w:rPr>
          <w:i/>
        </w:rPr>
        <w:t>ey que establece medidas tributarias, simplificación de procedimientos y permisos para la promoción y dinamización de la inversión en el país</w:t>
      </w:r>
      <w:r>
        <w:t xml:space="preserve">, </w:t>
      </w:r>
      <w:r w:rsidR="00A42747" w:rsidRPr="001D4781">
        <w:t>cuatro años después de su aprobación es un buen ejemplo</w:t>
      </w:r>
      <w:r>
        <w:t xml:space="preserve"> de cómo no se debe legislar y también una</w:t>
      </w:r>
      <w:r w:rsidR="00A42747" w:rsidRPr="001D4781">
        <w:t xml:space="preserve"> </w:t>
      </w:r>
      <w:r>
        <w:t xml:space="preserve">oportunidad </w:t>
      </w:r>
      <w:r w:rsidR="00A42747" w:rsidRPr="001D4781">
        <w:t xml:space="preserve">para que el </w:t>
      </w:r>
      <w:r>
        <w:t>T</w:t>
      </w:r>
      <w:r w:rsidR="00A42747" w:rsidRPr="001D4781">
        <w:t xml:space="preserve">ribunal </w:t>
      </w:r>
      <w:r>
        <w:t>Constitucional refuerce principios jurídicos para que cuando se legisle en nombre de la inversión no sea a costa de</w:t>
      </w:r>
      <w:r w:rsidR="00692A90">
        <w:t xml:space="preserve"> los</w:t>
      </w:r>
      <w:r>
        <w:t xml:space="preserve"> derechos fundamentales de la población.</w:t>
      </w:r>
      <w:r w:rsidR="00A42747" w:rsidRPr="001D4781">
        <w:t xml:space="preserve"> </w:t>
      </w:r>
    </w:p>
    <w:p w:rsidR="001D4781" w:rsidRDefault="00692A90" w:rsidP="00686AD1">
      <w:pPr>
        <w:jc w:val="both"/>
      </w:pPr>
      <w:r>
        <w:t>La norma se hizo conocida por facilitar la inversi</w:t>
      </w:r>
      <w:r w:rsidR="000A3005">
        <w:t xml:space="preserve">ón en cuestiones tributarias perdonando deudas a empresas, limitando la capacidad tributaria de la </w:t>
      </w:r>
      <w:proofErr w:type="spellStart"/>
      <w:r w:rsidR="000A3005">
        <w:t>Sunat</w:t>
      </w:r>
      <w:proofErr w:type="spellEnd"/>
      <w:r w:rsidR="000A3005">
        <w:t xml:space="preserve"> y en el campo de fiscalización ambiental debilitando al Organismo de Evaluación y Fiscalización Ambiental (OEFA). Sin embargo el</w:t>
      </w:r>
      <w:r w:rsidR="001D4781" w:rsidRPr="001D4781">
        <w:t xml:space="preserve"> Título III </w:t>
      </w:r>
      <w:r w:rsidR="000A3005">
        <w:t xml:space="preserve"> escondía una trama de procedimientos e</w:t>
      </w:r>
      <w:r w:rsidR="001D4781" w:rsidRPr="001D4781">
        <w:t>speciales de saneamiento físico legal</w:t>
      </w:r>
      <w:r w:rsidR="000A3005">
        <w:t xml:space="preserve"> es decir la posibilidad de entregar derechos a </w:t>
      </w:r>
      <w:r w:rsidR="000A3005" w:rsidRPr="001D4781">
        <w:t xml:space="preserve">proyectos de inversión </w:t>
      </w:r>
      <w:r w:rsidR="000A3005">
        <w:t>sobre cualquier tipo de tierras.</w:t>
      </w:r>
      <w:r w:rsidR="001D4781" w:rsidRPr="001D4781">
        <w:t xml:space="preserve"> </w:t>
      </w:r>
    </w:p>
    <w:p w:rsidR="00686AD1" w:rsidRPr="001D4781" w:rsidRDefault="00CA5CAD" w:rsidP="00686AD1">
      <w:pPr>
        <w:jc w:val="both"/>
      </w:pPr>
      <w:r>
        <w:t xml:space="preserve">Ante ello se presentó </w:t>
      </w:r>
      <w:r w:rsidR="001C4798">
        <w:t>al</w:t>
      </w:r>
      <w:r>
        <w:t xml:space="preserve"> Tribunal Constitucional la demanda de inconstitucionalidad contra la</w:t>
      </w:r>
      <w:r w:rsidR="00686AD1" w:rsidRPr="001D4781">
        <w:t xml:space="preserve"> </w:t>
      </w:r>
      <w:r>
        <w:t>ley 30230, Título III, artículos del 36 al 51 y por conectividad a normas como el Decreto Legislativo</w:t>
      </w:r>
      <w:r w:rsidR="001C4798">
        <w:t xml:space="preserve"> N°</w:t>
      </w:r>
      <w:r>
        <w:t xml:space="preserve"> 1333 </w:t>
      </w:r>
      <w:r w:rsidR="001C4798">
        <w:rPr>
          <w:i/>
        </w:rPr>
        <w:t>P</w:t>
      </w:r>
      <w:r w:rsidRPr="00CA5CAD">
        <w:rPr>
          <w:i/>
        </w:rPr>
        <w:t>ara la simplificación del acceso a predios para proyectos de inversión priorizados</w:t>
      </w:r>
      <w:r>
        <w:t>, que asumía</w:t>
      </w:r>
      <w:r w:rsidR="00D44904">
        <w:t xml:space="preserve"> competencias de la ley 30230</w:t>
      </w:r>
      <w:r w:rsidR="001C4798">
        <w:t xml:space="preserve"> respecto al</w:t>
      </w:r>
      <w:r w:rsidR="00D44904">
        <w:t xml:space="preserve"> </w:t>
      </w:r>
      <w:r w:rsidR="001C4798">
        <w:t>Título</w:t>
      </w:r>
      <w:r w:rsidR="00D44904">
        <w:t xml:space="preserve"> III.</w:t>
      </w:r>
      <w:r>
        <w:t xml:space="preserve"> </w:t>
      </w:r>
      <w:r w:rsidR="001C4798">
        <w:t>N</w:t>
      </w:r>
      <w:r w:rsidR="00686AD1" w:rsidRPr="001D4781">
        <w:t>ormas aprobadas que están debilitando el marco jurídico de protección derechos fundamentales, E</w:t>
      </w:r>
      <w:r w:rsidR="001C4798">
        <w:t>n</w:t>
      </w:r>
      <w:r w:rsidR="00686AD1" w:rsidRPr="001D4781">
        <w:t xml:space="preserve"> este caso derechos territoriales respecto a la propiedad y posesión de las comunidades campesinas y nativas</w:t>
      </w:r>
      <w:r w:rsidR="001C4798">
        <w:t xml:space="preserve"> llámense</w:t>
      </w:r>
      <w:r w:rsidR="00686AD1" w:rsidRPr="001D4781">
        <w:t xml:space="preserve"> pueblos indígenas y originarios</w:t>
      </w:r>
      <w:r w:rsidR="001C4798">
        <w:t>.</w:t>
      </w:r>
      <w:r w:rsidR="00686AD1" w:rsidRPr="001D4781">
        <w:t xml:space="preserve"> Lo mencionado </w:t>
      </w:r>
      <w:r w:rsidR="00F42AAD" w:rsidRPr="001D4781">
        <w:t>está</w:t>
      </w:r>
      <w:r w:rsidR="00F42AAD">
        <w:t xml:space="preserve"> sustentado en cuatro</w:t>
      </w:r>
      <w:r w:rsidR="00686AD1" w:rsidRPr="001D4781">
        <w:t xml:space="preserve"> puntos concretos: </w:t>
      </w:r>
    </w:p>
    <w:p w:rsidR="00686AD1" w:rsidRPr="001D4781" w:rsidRDefault="00D44904" w:rsidP="00686AD1">
      <w:pPr>
        <w:rPr>
          <w:b/>
        </w:rPr>
      </w:pPr>
      <w:r>
        <w:rPr>
          <w:b/>
        </w:rPr>
        <w:t>1.- F</w:t>
      </w:r>
      <w:r w:rsidR="00686AD1" w:rsidRPr="001D4781">
        <w:rPr>
          <w:b/>
        </w:rPr>
        <w:t>alta de titulación de</w:t>
      </w:r>
      <w:r w:rsidR="00F42AAD">
        <w:rPr>
          <w:b/>
        </w:rPr>
        <w:t xml:space="preserve"> tierras y territorios de</w:t>
      </w:r>
      <w:r w:rsidR="00686AD1" w:rsidRPr="001D4781">
        <w:rPr>
          <w:b/>
        </w:rPr>
        <w:t xml:space="preserve"> </w:t>
      </w:r>
      <w:r>
        <w:rPr>
          <w:b/>
        </w:rPr>
        <w:t>comunidades</w:t>
      </w:r>
    </w:p>
    <w:p w:rsidR="00686AD1" w:rsidRPr="001D4781" w:rsidRDefault="00686AD1" w:rsidP="00686AD1">
      <w:pPr>
        <w:jc w:val="both"/>
      </w:pPr>
      <w:r w:rsidRPr="001D4781">
        <w:t xml:space="preserve">El Estado al día hoy no cuenta con información oficial y actualizada sobre </w:t>
      </w:r>
      <w:r w:rsidR="00D44904">
        <w:t xml:space="preserve">cuantas </w:t>
      </w:r>
      <w:r w:rsidRPr="001D4781">
        <w:t xml:space="preserve">comunidades existen, </w:t>
      </w:r>
      <w:r w:rsidR="00D44904">
        <w:t>dónde</w:t>
      </w:r>
      <w:r w:rsidR="00F42AAD">
        <w:t xml:space="preserve"> están y</w:t>
      </w:r>
      <w:r w:rsidR="00D44904">
        <w:t xml:space="preserve"> cuáles </w:t>
      </w:r>
      <w:r w:rsidRPr="001D4781">
        <w:t>son exactamente sus territorios. Tampoco existe un catastro rural integrado que permita identificar</w:t>
      </w:r>
      <w:r w:rsidR="00D44904">
        <w:t xml:space="preserve"> y diferenciar</w:t>
      </w:r>
      <w:r w:rsidRPr="001D4781">
        <w:t xml:space="preserve"> los territorios de las comunidades </w:t>
      </w:r>
      <w:r w:rsidR="00D44904">
        <w:t xml:space="preserve">y </w:t>
      </w:r>
      <w:r w:rsidRPr="001D4781">
        <w:t xml:space="preserve">las tierras eriazas del Estado. </w:t>
      </w:r>
    </w:p>
    <w:p w:rsidR="00686AD1" w:rsidRPr="001D4781" w:rsidRDefault="00686AD1" w:rsidP="00686AD1">
      <w:pPr>
        <w:jc w:val="both"/>
      </w:pPr>
      <w:r w:rsidRPr="001D4781">
        <w:t>Según da</w:t>
      </w:r>
      <w:r w:rsidR="00F42AAD">
        <w:t xml:space="preserve">tos de Instituto del Bien Común, </w:t>
      </w:r>
      <w:r w:rsidRPr="001D4781">
        <w:t>organismo privado que suple este vacío, de las 10 529 comunidades campesinas y nativas, aproximadamente 4000 comunidades no tienen título de propiedad, eso es el 40% del total y en el caso de las comunidades tituladas según datos de COFOPRI</w:t>
      </w:r>
      <w:r w:rsidR="00F42AAD">
        <w:t xml:space="preserve"> </w:t>
      </w:r>
      <w:r w:rsidRPr="001D4781">
        <w:t xml:space="preserve"> el 74% no cuentan con georreferenciación oficial de sus linderos.</w:t>
      </w:r>
    </w:p>
    <w:p w:rsidR="00686AD1" w:rsidRPr="001D4781" w:rsidRDefault="00686AD1" w:rsidP="00686AD1">
      <w:pPr>
        <w:jc w:val="both"/>
      </w:pPr>
      <w:r w:rsidRPr="001D4781">
        <w:t>Hay pues una desprotección evidente; que se agrava más aun con estos procedimientos especiales otorgados únicamente a proyectos de inversión de manera discriminatoria. Mientras las comunidades tienen procedimientos engorrosos como lo ha señalado en reiterados informes la Defensoría del Pueblo</w:t>
      </w:r>
      <w:r w:rsidR="00F42AAD">
        <w:rPr>
          <w:rStyle w:val="Refdenotaalpie"/>
        </w:rPr>
        <w:footnoteReference w:id="1"/>
      </w:r>
      <w:r w:rsidRPr="001D4781">
        <w:t xml:space="preserve">. </w:t>
      </w:r>
      <w:r w:rsidR="00F42AAD">
        <w:t xml:space="preserve">Por tanto </w:t>
      </w:r>
      <w:r w:rsidR="001D4547">
        <w:t xml:space="preserve">hay </w:t>
      </w:r>
      <w:r w:rsidRPr="001D4781">
        <w:t>una constante vulneración de de</w:t>
      </w:r>
      <w:r w:rsidR="001D4547">
        <w:t>rechos que día a día se consuma, que exige la prohibición el Estado de otorgar derechos en tierras no tituladas.</w:t>
      </w:r>
    </w:p>
    <w:p w:rsidR="00686AD1" w:rsidRPr="001D4781" w:rsidRDefault="00F42AAD" w:rsidP="00686AD1">
      <w:pPr>
        <w:rPr>
          <w:b/>
        </w:rPr>
      </w:pPr>
      <w:r>
        <w:rPr>
          <w:b/>
        </w:rPr>
        <w:t>2.- E</w:t>
      </w:r>
      <w:r w:rsidR="00686AD1" w:rsidRPr="001D4781">
        <w:rPr>
          <w:b/>
        </w:rPr>
        <w:t>xiste una alarmante superposición de concesiones en territorios de comunidades tituladas y pendientes de titulación</w:t>
      </w:r>
    </w:p>
    <w:p w:rsidR="00686AD1" w:rsidRPr="001D4781" w:rsidRDefault="00F42AAD" w:rsidP="00686AD1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lastRenderedPageBreak/>
        <w:t>El Estado a través del gobierno central, los gobiernos regionales, los g</w:t>
      </w:r>
      <w:r w:rsidR="00686AD1" w:rsidRPr="001D4781">
        <w:rPr>
          <w:rFonts w:cstheme="minorHAnsi"/>
          <w:color w:val="222222"/>
          <w:shd w:val="clear" w:color="auto" w:fill="FFFFFF"/>
        </w:rPr>
        <w:t xml:space="preserve">obiernos locales y demás órganos vienen disponiendo de las tierras y territorios de las comunidades campesinas y nativas al emitir derechos de concesión </w:t>
      </w:r>
      <w:r>
        <w:rPr>
          <w:rFonts w:cstheme="minorHAnsi"/>
          <w:color w:val="222222"/>
          <w:shd w:val="clear" w:color="auto" w:fill="FFFFFF"/>
        </w:rPr>
        <w:t xml:space="preserve">de diversa índole como concesiones </w:t>
      </w:r>
      <w:r w:rsidR="00686AD1" w:rsidRPr="001D4781">
        <w:rPr>
          <w:rFonts w:cstheme="minorHAnsi"/>
          <w:color w:val="222222"/>
          <w:shd w:val="clear" w:color="auto" w:fill="FFFFFF"/>
        </w:rPr>
        <w:t>mineras, petrolera</w:t>
      </w:r>
      <w:r>
        <w:rPr>
          <w:rFonts w:cstheme="minorHAnsi"/>
          <w:color w:val="222222"/>
          <w:shd w:val="clear" w:color="auto" w:fill="FFFFFF"/>
        </w:rPr>
        <w:t xml:space="preserve">s, forestales, de conservación u otros derechos como </w:t>
      </w:r>
      <w:r w:rsidR="00686AD1" w:rsidRPr="001D4781">
        <w:rPr>
          <w:rFonts w:cstheme="minorHAnsi"/>
          <w:color w:val="222222"/>
          <w:shd w:val="clear" w:color="auto" w:fill="FFFFFF"/>
        </w:rPr>
        <w:t>certificados de posesión sobre tierras</w:t>
      </w:r>
      <w:r>
        <w:rPr>
          <w:rFonts w:cstheme="minorHAnsi"/>
          <w:color w:val="222222"/>
          <w:shd w:val="clear" w:color="auto" w:fill="FFFFFF"/>
        </w:rPr>
        <w:t xml:space="preserve"> comunales</w:t>
      </w:r>
      <w:r w:rsidR="00686AD1" w:rsidRPr="001D4781">
        <w:rPr>
          <w:rFonts w:cstheme="minorHAnsi"/>
          <w:color w:val="222222"/>
          <w:shd w:val="clear" w:color="auto" w:fill="FFFFFF"/>
        </w:rPr>
        <w:t xml:space="preserve"> tanto tituladas como no tituladas. </w:t>
      </w:r>
    </w:p>
    <w:p w:rsidR="00686AD1" w:rsidRPr="001D4781" w:rsidRDefault="00686AD1" w:rsidP="00686AD1">
      <w:pPr>
        <w:jc w:val="both"/>
        <w:rPr>
          <w:rFonts w:cstheme="minorHAnsi"/>
        </w:rPr>
      </w:pPr>
      <w:r w:rsidRPr="001D4781">
        <w:rPr>
          <w:rFonts w:cstheme="minorHAnsi"/>
        </w:rPr>
        <w:t>Al día de hoy el 52% de los territorios de las comunidades campesinas tiene concesiones mineras</w:t>
      </w:r>
      <w:r w:rsidR="00F42AAD">
        <w:rPr>
          <w:rStyle w:val="Refdenotaalpie"/>
          <w:rFonts w:cstheme="minorHAnsi"/>
        </w:rPr>
        <w:footnoteReference w:id="2"/>
      </w:r>
      <w:r w:rsidRPr="001D4781">
        <w:rPr>
          <w:rFonts w:cstheme="minorHAnsi"/>
        </w:rPr>
        <w:t>, sin haber tenido un proceso de consulta previa, lo que significa restricciones concretas a usar, gozar, disfrutar y d</w:t>
      </w:r>
      <w:r w:rsidR="00853D21">
        <w:rPr>
          <w:rFonts w:cstheme="minorHAnsi"/>
        </w:rPr>
        <w:t>isponer de su propiedad comunal y por tanto la violación constitucional del derecho de propiedad</w:t>
      </w:r>
      <w:r w:rsidR="00D544F3">
        <w:rPr>
          <w:rFonts w:cstheme="minorHAnsi"/>
        </w:rPr>
        <w:t xml:space="preserve"> privada artículo 70.</w:t>
      </w:r>
    </w:p>
    <w:p w:rsidR="00686AD1" w:rsidRPr="001D4781" w:rsidRDefault="00686AD1" w:rsidP="00686AD1">
      <w:pPr>
        <w:jc w:val="both"/>
      </w:pPr>
      <w:r w:rsidRPr="001D4781">
        <w:rPr>
          <w:rFonts w:cstheme="minorHAnsi"/>
        </w:rPr>
        <w:t xml:space="preserve">La ley 30230 </w:t>
      </w:r>
      <w:r w:rsidR="00F42AAD">
        <w:rPr>
          <w:rFonts w:cstheme="minorHAnsi"/>
        </w:rPr>
        <w:t xml:space="preserve">en los artículos del 36 al 51, </w:t>
      </w:r>
      <w:r w:rsidRPr="001D4781">
        <w:rPr>
          <w:rFonts w:cstheme="minorHAnsi"/>
        </w:rPr>
        <w:t xml:space="preserve">lo que hace es agudizar esta problemática al permitir el acceso a tierras de comunidades con procedimientos especiales que buscan </w:t>
      </w:r>
      <w:r w:rsidR="00853D21">
        <w:rPr>
          <w:rFonts w:cstheme="minorHAnsi"/>
        </w:rPr>
        <w:t>otorgar</w:t>
      </w:r>
      <w:r w:rsidRPr="001D4781">
        <w:rPr>
          <w:rFonts w:cstheme="minorHAnsi"/>
        </w:rPr>
        <w:t xml:space="preserve"> derechos en tierras no tituladas e </w:t>
      </w:r>
      <w:r w:rsidR="00853D21">
        <w:rPr>
          <w:rFonts w:cstheme="minorHAnsi"/>
        </w:rPr>
        <w:t xml:space="preserve">incluso modificar los títulos </w:t>
      </w:r>
      <w:r w:rsidRPr="001D4781">
        <w:rPr>
          <w:rFonts w:cstheme="minorHAnsi"/>
        </w:rPr>
        <w:t>obtenidos para sanearlos a nombre de estos proyectos de inversión, lo que está generando</w:t>
      </w:r>
      <w:r w:rsidR="00853D21">
        <w:rPr>
          <w:rFonts w:cstheme="minorHAnsi"/>
        </w:rPr>
        <w:t xml:space="preserve"> alarmante inseguridad jurídica que genera</w:t>
      </w:r>
      <w:r w:rsidRPr="001D4781">
        <w:rPr>
          <w:rFonts w:cstheme="minorHAnsi"/>
        </w:rPr>
        <w:t xml:space="preserve"> conflic</w:t>
      </w:r>
      <w:r w:rsidR="00853D21">
        <w:rPr>
          <w:rFonts w:cstheme="minorHAnsi"/>
        </w:rPr>
        <w:t>tividad territorial.</w:t>
      </w:r>
    </w:p>
    <w:p w:rsidR="001D4547" w:rsidRDefault="00853D21" w:rsidP="00686AD1">
      <w:pPr>
        <w:jc w:val="both"/>
        <w:rPr>
          <w:b/>
        </w:rPr>
      </w:pPr>
      <w:r>
        <w:rPr>
          <w:b/>
        </w:rPr>
        <w:t xml:space="preserve">3. </w:t>
      </w:r>
      <w:r w:rsidR="001D4547">
        <w:rPr>
          <w:b/>
        </w:rPr>
        <w:t>Violación del derecho a la</w:t>
      </w:r>
      <w:r w:rsidR="00686AD1" w:rsidRPr="001D4781">
        <w:rPr>
          <w:b/>
        </w:rPr>
        <w:t xml:space="preserve"> consulta previa </w:t>
      </w:r>
    </w:p>
    <w:p w:rsidR="00686AD1" w:rsidRPr="001D4781" w:rsidRDefault="00686AD1" w:rsidP="00686AD1">
      <w:pPr>
        <w:jc w:val="both"/>
      </w:pPr>
      <w:r w:rsidRPr="001D4781">
        <w:t>Esta norma al afectar</w:t>
      </w:r>
      <w:r w:rsidR="001D4547">
        <w:t xml:space="preserve"> directamente</w:t>
      </w:r>
      <w:r w:rsidRPr="001D4781">
        <w:t xml:space="preserve"> el derecho a la propiedad y posesión de las comunidades campesinas y nativas</w:t>
      </w:r>
      <w:r w:rsidR="001D4547">
        <w:t>,</w:t>
      </w:r>
      <w:r w:rsidRPr="001D4781">
        <w:t xml:space="preserve"> debió pasar por un proceso de consulta previa sin embargo no hubo ninguna participación ni consulta siendo este un vicio más de inconstitucionalidad.</w:t>
      </w:r>
    </w:p>
    <w:p w:rsidR="00686AD1" w:rsidRPr="001D4781" w:rsidRDefault="00686AD1" w:rsidP="00686AD1">
      <w:pPr>
        <w:jc w:val="both"/>
      </w:pPr>
      <w:r w:rsidRPr="001D4781">
        <w:t>Pero además</w:t>
      </w:r>
      <w:r w:rsidR="001D4547">
        <w:t>,</w:t>
      </w:r>
      <w:r w:rsidRPr="001D4781">
        <w:t xml:space="preserve"> después de un año y medio </w:t>
      </w:r>
      <w:r w:rsidR="001D4547">
        <w:t xml:space="preserve">de publicada la ley </w:t>
      </w:r>
      <w:r w:rsidRPr="001D4781">
        <w:t>se aprueba el</w:t>
      </w:r>
      <w:r w:rsidR="001D4547">
        <w:t xml:space="preserve"> reglamento donde de manera retó</w:t>
      </w:r>
      <w:r w:rsidRPr="001D4781">
        <w:t>rica se excluye las tierras de las comunidades, sin embargo, en la práctica se sigue d</w:t>
      </w:r>
      <w:r w:rsidR="001D4547">
        <w:t>isponiendo de tierras comunal</w:t>
      </w:r>
      <w:r w:rsidR="001D4547" w:rsidRPr="00203E59">
        <w:t>es,</w:t>
      </w:r>
      <w:r w:rsidRPr="00203E59">
        <w:t xml:space="preserve"> </w:t>
      </w:r>
      <w:r w:rsidR="001D4547" w:rsidRPr="00203E59">
        <w:t>q</w:t>
      </w:r>
      <w:r w:rsidRPr="00203E59">
        <w:t>uedando en evidencia la imposibilidad que una disposición de rango reglam</w:t>
      </w:r>
      <w:r w:rsidR="00203E59" w:rsidRPr="00203E59">
        <w:t xml:space="preserve">entario pueda modificar una ley </w:t>
      </w:r>
      <w:r w:rsidR="00203E59" w:rsidRPr="00203E59">
        <w:rPr>
          <w:rFonts w:eastAsia="Times New Roman" w:cstheme="minorHAnsi"/>
          <w:lang w:val="es-ES" w:eastAsia="ar-SA"/>
        </w:rPr>
        <w:t>atentando contra el principio de jerarquía normativa de la Constitución.</w:t>
      </w:r>
    </w:p>
    <w:p w:rsidR="00686AD1" w:rsidRPr="001D4781" w:rsidRDefault="001D4547" w:rsidP="00686AD1">
      <w:pPr>
        <w:rPr>
          <w:b/>
        </w:rPr>
      </w:pPr>
      <w:r>
        <w:rPr>
          <w:b/>
        </w:rPr>
        <w:t>4. L</w:t>
      </w:r>
      <w:r w:rsidR="00686AD1" w:rsidRPr="001D4781">
        <w:rPr>
          <w:b/>
        </w:rPr>
        <w:t xml:space="preserve">a Obligación del Estado peruano de aplicar las disposiciones del Convenio 169 de la OIT y las sentencias de la Corte Interamericana de Derechos Humanos </w:t>
      </w:r>
    </w:p>
    <w:p w:rsidR="00686AD1" w:rsidRPr="001D4781" w:rsidRDefault="00686AD1" w:rsidP="00686AD1">
      <w:pPr>
        <w:jc w:val="both"/>
        <w:rPr>
          <w:rFonts w:cstheme="minorHAnsi"/>
        </w:rPr>
      </w:pPr>
      <w:r w:rsidRPr="001D4781">
        <w:rPr>
          <w:rFonts w:cstheme="minorHAnsi"/>
        </w:rPr>
        <w:t xml:space="preserve">Es simple el Estado tiene que cumplir las disposiciones de los artículos 14, 15, 17, 18 referidas a la </w:t>
      </w:r>
      <w:r w:rsidR="001D4547">
        <w:rPr>
          <w:rFonts w:cstheme="minorHAnsi"/>
        </w:rPr>
        <w:t xml:space="preserve">protección de </w:t>
      </w:r>
      <w:r w:rsidRPr="001D4781">
        <w:rPr>
          <w:rFonts w:cstheme="minorHAnsi"/>
        </w:rPr>
        <w:t>tierra y terr</w:t>
      </w:r>
      <w:r w:rsidR="001D4547">
        <w:rPr>
          <w:rFonts w:cstheme="minorHAnsi"/>
        </w:rPr>
        <w:t>itorio de los pueblos indígenas, la violación de estos artículos quiebran el bloque constitucional, de la misma manera las disposiciones</w:t>
      </w:r>
      <w:r w:rsidRPr="001D4781">
        <w:rPr>
          <w:rFonts w:cstheme="minorHAnsi"/>
        </w:rPr>
        <w:t xml:space="preserve"> </w:t>
      </w:r>
      <w:r w:rsidR="001D4547">
        <w:rPr>
          <w:rFonts w:cstheme="minorHAnsi"/>
        </w:rPr>
        <w:t xml:space="preserve">de </w:t>
      </w:r>
      <w:r w:rsidRPr="001D4781">
        <w:rPr>
          <w:rFonts w:cstheme="minorHAnsi"/>
        </w:rPr>
        <w:t xml:space="preserve">la sentencia de la comunidad </w:t>
      </w:r>
      <w:proofErr w:type="spellStart"/>
      <w:r w:rsidRPr="001D4781">
        <w:rPr>
          <w:rFonts w:cstheme="minorHAnsi"/>
        </w:rPr>
        <w:t>Mayagna</w:t>
      </w:r>
      <w:proofErr w:type="spellEnd"/>
      <w:r w:rsidR="001D4547">
        <w:rPr>
          <w:rFonts w:cstheme="minorHAnsi"/>
        </w:rPr>
        <w:t xml:space="preserve"> </w:t>
      </w:r>
      <w:proofErr w:type="spellStart"/>
      <w:r w:rsidR="001D4547">
        <w:rPr>
          <w:rFonts w:cstheme="minorHAnsi"/>
        </w:rPr>
        <w:t>Awas</w:t>
      </w:r>
      <w:proofErr w:type="spellEnd"/>
      <w:r w:rsidR="001D4547">
        <w:rPr>
          <w:rFonts w:cstheme="minorHAnsi"/>
        </w:rPr>
        <w:t xml:space="preserve"> </w:t>
      </w:r>
      <w:proofErr w:type="spellStart"/>
      <w:r w:rsidR="001D4547">
        <w:rPr>
          <w:rFonts w:cstheme="minorHAnsi"/>
        </w:rPr>
        <w:t>Ti</w:t>
      </w:r>
      <w:r w:rsidR="00D544F3">
        <w:rPr>
          <w:rFonts w:cstheme="minorHAnsi"/>
        </w:rPr>
        <w:t>n</w:t>
      </w:r>
      <w:r w:rsidRPr="001D4781">
        <w:rPr>
          <w:rFonts w:cstheme="minorHAnsi"/>
        </w:rPr>
        <w:t>gni</w:t>
      </w:r>
      <w:proofErr w:type="spellEnd"/>
      <w:r w:rsidRPr="001D4781">
        <w:rPr>
          <w:rFonts w:cstheme="minorHAnsi"/>
        </w:rPr>
        <w:t xml:space="preserve"> vs Nicaragua y que se reitera en otras sentencias </w:t>
      </w:r>
      <w:r w:rsidR="001D4547">
        <w:rPr>
          <w:rFonts w:cstheme="minorHAnsi"/>
        </w:rPr>
        <w:t>como el de</w:t>
      </w:r>
      <w:r w:rsidRPr="001D4781">
        <w:rPr>
          <w:rFonts w:cstheme="minorHAnsi"/>
        </w:rPr>
        <w:t xml:space="preserve"> l</w:t>
      </w:r>
      <w:r w:rsidR="001D4547">
        <w:rPr>
          <w:rFonts w:cstheme="minorHAnsi"/>
        </w:rPr>
        <w:t>a</w:t>
      </w:r>
      <w:r w:rsidRPr="001D4781">
        <w:rPr>
          <w:rFonts w:cstheme="minorHAnsi"/>
        </w:rPr>
        <w:t xml:space="preserve"> comunidad </w:t>
      </w:r>
      <w:proofErr w:type="spellStart"/>
      <w:r w:rsidRPr="001D4781">
        <w:t>Yakye</w:t>
      </w:r>
      <w:proofErr w:type="spellEnd"/>
      <w:r w:rsidRPr="001D4781">
        <w:t xml:space="preserve"> Axa Vs. Paraguay</w:t>
      </w:r>
      <w:r w:rsidR="001D4547">
        <w:rPr>
          <w:rFonts w:cstheme="minorHAnsi"/>
        </w:rPr>
        <w:t xml:space="preserve"> o </w:t>
      </w:r>
      <w:r w:rsidRPr="001D4781">
        <w:rPr>
          <w:rFonts w:cstheme="minorHAnsi"/>
        </w:rPr>
        <w:t xml:space="preserve">comunidad </w:t>
      </w:r>
      <w:proofErr w:type="spellStart"/>
      <w:r w:rsidRPr="001D4781">
        <w:rPr>
          <w:rFonts w:cstheme="minorHAnsi"/>
        </w:rPr>
        <w:t>Sa</w:t>
      </w:r>
      <w:r w:rsidR="00203E59">
        <w:rPr>
          <w:rFonts w:cstheme="minorHAnsi"/>
        </w:rPr>
        <w:t>ramaka</w:t>
      </w:r>
      <w:proofErr w:type="spellEnd"/>
      <w:r w:rsidR="00203E59">
        <w:rPr>
          <w:rFonts w:cstheme="minorHAnsi"/>
        </w:rPr>
        <w:t xml:space="preserve"> Vs Surinam, donde se menciona</w:t>
      </w:r>
      <w:r w:rsidRPr="001D4781">
        <w:rPr>
          <w:rFonts w:cstheme="minorHAnsi"/>
        </w:rPr>
        <w:t xml:space="preserve">: </w:t>
      </w:r>
      <w:r w:rsidRPr="001D4781">
        <w:rPr>
          <w:rFonts w:cstheme="minorHAnsi"/>
          <w:caps/>
        </w:rPr>
        <w:t>“</w:t>
      </w:r>
      <w:r w:rsidR="00203E59">
        <w:rPr>
          <w:rFonts w:cstheme="minorHAnsi"/>
        </w:rPr>
        <w:t>El</w:t>
      </w:r>
      <w:r w:rsidRPr="00203E59">
        <w:rPr>
          <w:rFonts w:cstheme="minorHAnsi"/>
        </w:rPr>
        <w:t xml:space="preserve"> Estado debe adoptar las medidas legislativas, administrativas y de cualquier otro carácter que sean necesarias para crear un mecanismo efectivo de delimitación, demarcación y titulación de las propiedades </w:t>
      </w:r>
      <w:r w:rsidRPr="001D4781">
        <w:rPr>
          <w:rFonts w:cstheme="minorHAnsi"/>
        </w:rPr>
        <w:t>de las comunidades indígenas”</w:t>
      </w:r>
      <w:r w:rsidR="00203E59">
        <w:rPr>
          <w:rStyle w:val="Refdenotaalpie"/>
          <w:rFonts w:cstheme="minorHAnsi"/>
        </w:rPr>
        <w:footnoteReference w:id="3"/>
      </w:r>
      <w:r w:rsidRPr="001D4781">
        <w:rPr>
          <w:rFonts w:cstheme="minorHAnsi"/>
        </w:rPr>
        <w:t xml:space="preserve">. </w:t>
      </w:r>
    </w:p>
    <w:p w:rsidR="00686AD1" w:rsidRPr="00203E59" w:rsidRDefault="00686AD1" w:rsidP="00686AD1">
      <w:pPr>
        <w:jc w:val="both"/>
        <w:rPr>
          <w:rFonts w:cstheme="minorHAnsi"/>
          <w:i/>
        </w:rPr>
      </w:pPr>
      <w:r w:rsidRPr="001D4781">
        <w:rPr>
          <w:rFonts w:cstheme="minorHAnsi"/>
        </w:rPr>
        <w:t>Si no ha adoptado esas medidas “</w:t>
      </w:r>
      <w:r w:rsidRPr="001D4781">
        <w:rPr>
          <w:rStyle w:val="nfasis"/>
          <w:rFonts w:cstheme="minorHAnsi"/>
          <w:color w:val="222222"/>
          <w:shd w:val="clear" w:color="auto" w:fill="FFFFFF"/>
        </w:rPr>
        <w:t>El Estado se debe de abstener de entregar derechos, hasta que no se realice la delimitación, demarcación, titulación de las tierras de las comunidades campesinas”.</w:t>
      </w:r>
      <w:r w:rsidR="00203E59">
        <w:rPr>
          <w:rStyle w:val="nfasis"/>
          <w:rFonts w:cstheme="minorHAnsi"/>
          <w:color w:val="222222"/>
          <w:shd w:val="clear" w:color="auto" w:fill="FFFFFF"/>
        </w:rPr>
        <w:t xml:space="preserve"> </w:t>
      </w:r>
      <w:r w:rsidR="00203E59" w:rsidRPr="00203E59">
        <w:rPr>
          <w:rStyle w:val="nfasis"/>
          <w:rFonts w:cstheme="minorHAnsi"/>
          <w:i w:val="0"/>
          <w:color w:val="222222"/>
          <w:shd w:val="clear" w:color="auto" w:fill="FFFFFF"/>
        </w:rPr>
        <w:lastRenderedPageBreak/>
        <w:t>Por tanto el Estado debe de estar prohibido de otorga derechos sobre tierras  tituladas y no tituladas.</w:t>
      </w:r>
    </w:p>
    <w:p w:rsidR="00686AD1" w:rsidRPr="00203E59" w:rsidRDefault="00203E59" w:rsidP="00203E59">
      <w:pPr>
        <w:jc w:val="both"/>
      </w:pPr>
      <w:r>
        <w:rPr>
          <w:rFonts w:cstheme="minorHAnsi"/>
        </w:rPr>
        <w:t xml:space="preserve">La </w:t>
      </w:r>
      <w:r w:rsidR="00686AD1" w:rsidRPr="001D4781">
        <w:rPr>
          <w:rFonts w:cstheme="minorHAnsi"/>
        </w:rPr>
        <w:t>Comisión Interamericana con diversos informes y la Corte Interamericana en reiterada jurisprudencia han manifestado que constituye una violación del derecho de propiedad territorial el que los Estados aprueben proyectos de inversión sobre tierras indígenas no tituladas.</w:t>
      </w:r>
    </w:p>
    <w:p w:rsidR="00686AD1" w:rsidRPr="00203E59" w:rsidRDefault="00203E59" w:rsidP="00203E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PE" w:eastAsia="es-PE"/>
        </w:rPr>
      </w:pPr>
      <w:r w:rsidRPr="00203E59">
        <w:t xml:space="preserve">Finalmente el objetivo de la demanda de inconstitucionalidad </w:t>
      </w:r>
      <w:r w:rsidR="00686AD1" w:rsidRPr="00203E59">
        <w:t xml:space="preserve">es que mediante </w:t>
      </w:r>
      <w:r w:rsidRPr="00203E59">
        <w:t xml:space="preserve">la </w:t>
      </w:r>
      <w:r w:rsidR="00686AD1" w:rsidRPr="00203E59">
        <w:t>sentencia se</w:t>
      </w:r>
      <w:r w:rsidR="00686AD1" w:rsidRPr="001D4781">
        <w:rPr>
          <w:b/>
        </w:rPr>
        <w:t xml:space="preserve"> </w:t>
      </w:r>
      <w:r>
        <w:rPr>
          <w:rFonts w:cstheme="minorHAnsi"/>
          <w:color w:val="222222"/>
          <w:shd w:val="clear" w:color="auto" w:fill="FFFFFF"/>
        </w:rPr>
        <w:t>dé</w:t>
      </w:r>
      <w:r w:rsidR="00686AD1" w:rsidRPr="001D4781">
        <w:rPr>
          <w:rFonts w:cstheme="minorHAnsi"/>
          <w:color w:val="222222"/>
          <w:shd w:val="clear" w:color="auto" w:fill="FFFFFF"/>
        </w:rPr>
        <w:t xml:space="preserve"> cumplimiento a lo señalado </w:t>
      </w:r>
      <w:r>
        <w:rPr>
          <w:rFonts w:cstheme="minorHAnsi"/>
          <w:color w:val="222222"/>
          <w:shd w:val="clear" w:color="auto" w:fill="FFFFFF"/>
        </w:rPr>
        <w:t>por el</w:t>
      </w:r>
      <w:r w:rsidR="00686AD1" w:rsidRPr="001D4781">
        <w:rPr>
          <w:rFonts w:cstheme="minorHAnsi"/>
          <w:color w:val="222222"/>
          <w:shd w:val="clear" w:color="auto" w:fill="FFFFFF"/>
        </w:rPr>
        <w:t xml:space="preserve"> Convenio 169 de la OIT y la sentencia </w:t>
      </w:r>
      <w:proofErr w:type="spellStart"/>
      <w:r w:rsidR="00686AD1" w:rsidRPr="001D4781">
        <w:rPr>
          <w:rFonts w:cstheme="minorHAnsi"/>
          <w:color w:val="222222"/>
          <w:shd w:val="clear" w:color="auto" w:fill="FFFFFF"/>
        </w:rPr>
        <w:t>Awas</w:t>
      </w:r>
      <w:proofErr w:type="spellEnd"/>
      <w:r w:rsidR="00686AD1" w:rsidRPr="001D4781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686AD1" w:rsidRPr="001D4781">
        <w:rPr>
          <w:rFonts w:cstheme="minorHAnsi"/>
          <w:color w:val="222222"/>
          <w:shd w:val="clear" w:color="auto" w:fill="FFFFFF"/>
        </w:rPr>
        <w:t>Tigni</w:t>
      </w:r>
      <w:proofErr w:type="spellEnd"/>
      <w:r w:rsidR="00686AD1" w:rsidRPr="001D4781">
        <w:rPr>
          <w:rFonts w:cstheme="minorHAnsi"/>
          <w:color w:val="222222"/>
          <w:shd w:val="clear" w:color="auto" w:fill="FFFFFF"/>
        </w:rPr>
        <w:t xml:space="preserve"> Vs Nicaragua y tanto el</w:t>
      </w:r>
      <w:r>
        <w:rPr>
          <w:rFonts w:cstheme="minorHAnsi"/>
          <w:color w:val="222222"/>
          <w:shd w:val="clear" w:color="auto" w:fill="FFFFFF"/>
        </w:rPr>
        <w:t xml:space="preserve"> gobierno nacional, regional </w:t>
      </w:r>
      <w:r w:rsidR="00686AD1" w:rsidRPr="001D4781">
        <w:rPr>
          <w:rFonts w:cstheme="minorHAnsi"/>
          <w:color w:val="222222"/>
          <w:shd w:val="clear" w:color="auto" w:fill="FFFFFF"/>
        </w:rPr>
        <w:t xml:space="preserve">y locales </w:t>
      </w:r>
      <w:r>
        <w:rPr>
          <w:rFonts w:cstheme="minorHAnsi"/>
          <w:color w:val="222222"/>
          <w:shd w:val="clear" w:color="auto" w:fill="FFFFFF"/>
        </w:rPr>
        <w:t>tengan la prohibición expresa de no otorgar</w:t>
      </w:r>
      <w:r w:rsidR="00686AD1" w:rsidRPr="001D4781">
        <w:rPr>
          <w:rFonts w:cstheme="minorHAnsi"/>
          <w:color w:val="222222"/>
          <w:shd w:val="clear" w:color="auto" w:fill="FFFFFF"/>
        </w:rPr>
        <w:t xml:space="preserve"> derechos sobre tierras que no les pertenecen o que no están tituladas</w:t>
      </w:r>
      <w:r>
        <w:rPr>
          <w:rFonts w:cstheme="minorHAnsi"/>
          <w:color w:val="222222"/>
          <w:shd w:val="clear" w:color="auto" w:fill="FFFFFF"/>
        </w:rPr>
        <w:t xml:space="preserve"> y en caso se haya consumado la vulneración de estas disposiciones el Estado </w:t>
      </w:r>
      <w:r w:rsidRPr="00203E59">
        <w:rPr>
          <w:rFonts w:eastAsia="Times New Roman" w:cs="Arial"/>
          <w:bCs/>
          <w:color w:val="333333"/>
          <w:lang w:val="es-PE" w:eastAsia="es-PE"/>
        </w:rPr>
        <w:t xml:space="preserve">declare la nulidad de </w:t>
      </w:r>
      <w:r w:rsidR="00FB0111">
        <w:rPr>
          <w:rFonts w:eastAsia="Times New Roman" w:cs="Arial"/>
          <w:bCs/>
          <w:color w:val="333333"/>
          <w:lang w:val="es-PE" w:eastAsia="es-PE"/>
        </w:rPr>
        <w:t xml:space="preserve">los </w:t>
      </w:r>
      <w:r w:rsidRPr="00203E59">
        <w:rPr>
          <w:rFonts w:eastAsia="Times New Roman" w:cs="Arial"/>
          <w:bCs/>
          <w:color w:val="333333"/>
          <w:lang w:val="es-PE" w:eastAsia="es-PE"/>
        </w:rPr>
        <w:t>derechos con</w:t>
      </w:r>
      <w:r>
        <w:rPr>
          <w:rFonts w:eastAsia="Times New Roman" w:cs="Arial"/>
          <w:bCs/>
          <w:color w:val="333333"/>
          <w:lang w:val="es-PE" w:eastAsia="es-PE"/>
        </w:rPr>
        <w:t xml:space="preserve">cedidos inconstitucionalmente y por tanto deba </w:t>
      </w:r>
      <w:r w:rsidRPr="00203E59">
        <w:rPr>
          <w:rFonts w:eastAsia="Times New Roman" w:cs="Arial"/>
          <w:bCs/>
          <w:color w:val="333333"/>
          <w:lang w:val="es-PE" w:eastAsia="es-PE"/>
        </w:rPr>
        <w:t>restituir</w:t>
      </w:r>
      <w:r>
        <w:rPr>
          <w:rFonts w:eastAsia="Times New Roman" w:cs="Arial"/>
          <w:bCs/>
          <w:color w:val="333333"/>
          <w:lang w:val="es-PE" w:eastAsia="es-PE"/>
        </w:rPr>
        <w:t xml:space="preserve"> la</w:t>
      </w:r>
      <w:r w:rsidRPr="00203E59">
        <w:rPr>
          <w:rFonts w:eastAsia="Times New Roman" w:cs="Arial"/>
          <w:bCs/>
          <w:color w:val="333333"/>
          <w:lang w:val="es-PE" w:eastAsia="es-PE"/>
        </w:rPr>
        <w:t xml:space="preserve"> propiedad y posesión de </w:t>
      </w:r>
      <w:r>
        <w:rPr>
          <w:rFonts w:eastAsia="Times New Roman" w:cs="Arial"/>
          <w:bCs/>
          <w:color w:val="333333"/>
          <w:lang w:val="es-PE" w:eastAsia="es-PE"/>
        </w:rPr>
        <w:t xml:space="preserve">tierras y territorios de pueblos indígenas </w:t>
      </w:r>
      <w:r w:rsidR="00FB0111">
        <w:rPr>
          <w:rFonts w:eastAsia="Times New Roman" w:cs="Arial"/>
          <w:bCs/>
          <w:color w:val="333333"/>
          <w:lang w:val="es-PE" w:eastAsia="es-PE"/>
        </w:rPr>
        <w:t>según el artículos 14 y 16 del Convenio.</w:t>
      </w:r>
    </w:p>
    <w:p w:rsidR="00686AD1" w:rsidRPr="001D4781" w:rsidRDefault="00686AD1" w:rsidP="00686AD1">
      <w:pPr>
        <w:jc w:val="both"/>
        <w:rPr>
          <w:rFonts w:cstheme="minorHAnsi"/>
        </w:rPr>
      </w:pPr>
      <w:r w:rsidRPr="001D4781">
        <w:rPr>
          <w:rFonts w:cstheme="minorHAnsi"/>
        </w:rPr>
        <w:t>Esto significa</w:t>
      </w:r>
      <w:r w:rsidR="00203E59">
        <w:rPr>
          <w:rFonts w:cstheme="minorHAnsi"/>
        </w:rPr>
        <w:t xml:space="preserve"> en el caso de la ley 30230</w:t>
      </w:r>
      <w:r w:rsidRPr="001D4781">
        <w:rPr>
          <w:rFonts w:cstheme="minorHAnsi"/>
        </w:rPr>
        <w:t xml:space="preserve"> que el Tribunal Constitucional se pronuncie sobre la inconstitucionalidad de los artículos 36 al 51 </w:t>
      </w:r>
      <w:r w:rsidR="00203E59">
        <w:rPr>
          <w:rFonts w:cstheme="minorHAnsi"/>
        </w:rPr>
        <w:t xml:space="preserve">respecto a procedimientos especiales para entregar derechos </w:t>
      </w:r>
      <w:r w:rsidR="001B32E7">
        <w:rPr>
          <w:rFonts w:cstheme="minorHAnsi"/>
        </w:rPr>
        <w:t xml:space="preserve">territoriales </w:t>
      </w:r>
      <w:r w:rsidR="00203E59">
        <w:rPr>
          <w:rFonts w:cstheme="minorHAnsi"/>
        </w:rPr>
        <w:t xml:space="preserve">que </w:t>
      </w:r>
      <w:r w:rsidR="001B32E7">
        <w:rPr>
          <w:rFonts w:cstheme="minorHAnsi"/>
        </w:rPr>
        <w:t xml:space="preserve">únicamente </w:t>
      </w:r>
      <w:r w:rsidR="00203E59">
        <w:rPr>
          <w:rFonts w:cstheme="minorHAnsi"/>
        </w:rPr>
        <w:t xml:space="preserve">benefician </w:t>
      </w:r>
      <w:r w:rsidR="001B32E7">
        <w:rPr>
          <w:rFonts w:cstheme="minorHAnsi"/>
        </w:rPr>
        <w:t>a proyectos de inversión.</w:t>
      </w:r>
    </w:p>
    <w:p w:rsidR="00686AD1" w:rsidRDefault="00686AD1" w:rsidP="00686AD1">
      <w:pPr>
        <w:spacing w:after="120" w:line="240" w:lineRule="auto"/>
        <w:jc w:val="both"/>
        <w:rPr>
          <w:rFonts w:cstheme="minorHAnsi"/>
        </w:rPr>
      </w:pPr>
      <w:r w:rsidRPr="001D4781">
        <w:rPr>
          <w:rFonts w:cstheme="minorHAnsi"/>
        </w:rPr>
        <w:t xml:space="preserve">Los Gobiernos tienen el derecho de adoptar las medidas que consideren más idóneas para fomentar </w:t>
      </w:r>
      <w:r w:rsidR="001B32E7">
        <w:rPr>
          <w:rFonts w:cstheme="minorHAnsi"/>
        </w:rPr>
        <w:t xml:space="preserve">la inversión priva y pública </w:t>
      </w:r>
      <w:r w:rsidRPr="001D4781">
        <w:rPr>
          <w:rFonts w:cstheme="minorHAnsi"/>
        </w:rPr>
        <w:t xml:space="preserve">con el único límite de respetar los derechos humanos por tanto es necesario además que mediante la sentencia se aclare los límites para legislar en nombre de la inversión </w:t>
      </w:r>
      <w:r w:rsidR="00EA0F01">
        <w:rPr>
          <w:rFonts w:cstheme="minorHAnsi"/>
        </w:rPr>
        <w:t>vulnerando</w:t>
      </w:r>
      <w:r w:rsidRPr="001D4781">
        <w:rPr>
          <w:rFonts w:cstheme="minorHAnsi"/>
        </w:rPr>
        <w:t xml:space="preserve"> derechos fundamentales.</w:t>
      </w:r>
    </w:p>
    <w:p w:rsidR="00EA0F01" w:rsidRDefault="00EA0F01" w:rsidP="00686AD1">
      <w:pPr>
        <w:spacing w:after="120" w:line="240" w:lineRule="auto"/>
        <w:jc w:val="both"/>
        <w:rPr>
          <w:rFonts w:cstheme="minorHAnsi"/>
        </w:rPr>
      </w:pPr>
    </w:p>
    <w:p w:rsidR="00991177" w:rsidRDefault="006A1C45" w:rsidP="00686AD1">
      <w:pPr>
        <w:spacing w:after="120" w:line="240" w:lineRule="auto"/>
        <w:jc w:val="both"/>
        <w:rPr>
          <w:rFonts w:cstheme="minorHAnsi"/>
        </w:rPr>
      </w:pPr>
      <w:r w:rsidRPr="006A1C45">
        <w:rPr>
          <w:rFonts w:cstheme="minorHAnsi"/>
          <w:noProof/>
          <w:lang w:val="es-PE" w:eastAsia="es-PE"/>
        </w:rPr>
        <w:drawing>
          <wp:inline distT="0" distB="0" distL="0" distR="0">
            <wp:extent cx="5612130" cy="3156823"/>
            <wp:effectExtent l="0" t="0" r="7620" b="5715"/>
            <wp:docPr id="1" name="Imagen 1" descr="C:\Users\lhallazi\Downloads\tribunalconstitu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llazi\Downloads\tribunalconstitucio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45" w:rsidRDefault="006A1C45" w:rsidP="00686AD1">
      <w:pPr>
        <w:spacing w:after="120" w:line="240" w:lineRule="auto"/>
        <w:jc w:val="both"/>
        <w:rPr>
          <w:rFonts w:cstheme="minorHAnsi"/>
        </w:rPr>
      </w:pPr>
    </w:p>
    <w:p w:rsidR="00EA0F01" w:rsidRPr="00E77C71" w:rsidRDefault="00EA0F01" w:rsidP="00686AD1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*Luis Hallazi es abogado del Instituto del Bien Común, efectuó el informe jurídico de la segunda vista de causa de demanda de inconstitucionalidad ante el Tribunal Constitucional. </w:t>
      </w:r>
    </w:p>
    <w:p w:rsidR="00EA0F01" w:rsidRDefault="00EA0F01" w:rsidP="00EA0F01">
      <w:bookmarkStart w:id="0" w:name="_GoBack"/>
      <w:bookmarkEnd w:id="0"/>
    </w:p>
    <w:sectPr w:rsidR="00EA0F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C5" w:rsidRDefault="002D48C5" w:rsidP="00F42AAD">
      <w:pPr>
        <w:spacing w:after="0" w:line="240" w:lineRule="auto"/>
      </w:pPr>
      <w:r>
        <w:separator/>
      </w:r>
    </w:p>
  </w:endnote>
  <w:endnote w:type="continuationSeparator" w:id="0">
    <w:p w:rsidR="002D48C5" w:rsidRDefault="002D48C5" w:rsidP="00F4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C5" w:rsidRDefault="002D48C5" w:rsidP="00F42AAD">
      <w:pPr>
        <w:spacing w:after="0" w:line="240" w:lineRule="auto"/>
      </w:pPr>
      <w:r>
        <w:separator/>
      </w:r>
    </w:p>
  </w:footnote>
  <w:footnote w:type="continuationSeparator" w:id="0">
    <w:p w:rsidR="002D48C5" w:rsidRDefault="002D48C5" w:rsidP="00F42AAD">
      <w:pPr>
        <w:spacing w:after="0" w:line="240" w:lineRule="auto"/>
      </w:pPr>
      <w:r>
        <w:continuationSeparator/>
      </w:r>
    </w:p>
  </w:footnote>
  <w:footnote w:id="1">
    <w:p w:rsidR="00F42AAD" w:rsidRPr="00F42AAD" w:rsidRDefault="00F42AA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="001C4798">
        <w:t>Informe</w:t>
      </w:r>
      <w:r w:rsidR="00D544F3">
        <w:t xml:space="preserve"> N° 002- 2014-DP/AMASPPI-PPI, </w:t>
      </w:r>
      <w:r w:rsidR="001C4798">
        <w:t xml:space="preserve">Análisis de la Política Pública sobre reconocimiento de titulación de las Comunidades Campesinas y Nativas: </w:t>
      </w:r>
      <w:r w:rsidR="001C4798" w:rsidRPr="001C4798">
        <w:t>http://www.justiciaviva.org.pe/webpanel/doc_int/doc05062014-144645.pdf</w:t>
      </w:r>
    </w:p>
  </w:footnote>
  <w:footnote w:id="2">
    <w:p w:rsidR="00F42AAD" w:rsidRPr="00F42AAD" w:rsidRDefault="00F42AA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="00FB0111">
        <w:t xml:space="preserve">Sentencia Comunidad </w:t>
      </w:r>
      <w:proofErr w:type="spellStart"/>
      <w:r w:rsidR="00FB0111">
        <w:t>Mayagna</w:t>
      </w:r>
      <w:proofErr w:type="spellEnd"/>
      <w:r w:rsidR="00FB0111">
        <w:t xml:space="preserve"> (Sumo) </w:t>
      </w:r>
      <w:proofErr w:type="spellStart"/>
      <w:r w:rsidR="00FB0111">
        <w:t>Awas</w:t>
      </w:r>
      <w:proofErr w:type="spellEnd"/>
      <w:r w:rsidR="00FB0111">
        <w:t xml:space="preserve"> </w:t>
      </w:r>
      <w:proofErr w:type="spellStart"/>
      <w:r w:rsidR="00FB0111">
        <w:t>Tingni</w:t>
      </w:r>
      <w:proofErr w:type="spellEnd"/>
      <w:r w:rsidR="00FB0111">
        <w:t xml:space="preserve"> Vs. Nicaragua, párrafo 164:</w:t>
      </w:r>
      <w:r w:rsidR="00FB0111" w:rsidRPr="00FB0111">
        <w:t xml:space="preserve"> http://www.corteidh.or.cr/cf/jurisprudencia2/ficha_tecnica.cfm?nId_Ficha=240&amp;lang=es</w:t>
      </w:r>
    </w:p>
  </w:footnote>
  <w:footnote w:id="3">
    <w:p w:rsidR="00203E59" w:rsidRPr="00203E59" w:rsidRDefault="00203E59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="00FB0111" w:rsidRPr="009A28BB">
        <w:rPr>
          <w:sz w:val="18"/>
          <w:szCs w:val="18"/>
        </w:rPr>
        <w:t>Ibídem</w:t>
      </w:r>
      <w:r w:rsidR="00FB0111">
        <w:rPr>
          <w:sz w:val="18"/>
          <w:szCs w:val="18"/>
        </w:rPr>
        <w:t xml:space="preserve"> párrafo 153.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F0AD6"/>
    <w:multiLevelType w:val="hybridMultilevel"/>
    <w:tmpl w:val="D0FCECC0"/>
    <w:lvl w:ilvl="0" w:tplc="300C8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C0634"/>
    <w:multiLevelType w:val="hybridMultilevel"/>
    <w:tmpl w:val="8F343984"/>
    <w:lvl w:ilvl="0" w:tplc="DBD88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D1"/>
    <w:rsid w:val="000A3005"/>
    <w:rsid w:val="001B32E7"/>
    <w:rsid w:val="001C4798"/>
    <w:rsid w:val="001D4547"/>
    <w:rsid w:val="001D4781"/>
    <w:rsid w:val="00203E59"/>
    <w:rsid w:val="002D48C5"/>
    <w:rsid w:val="002F61C8"/>
    <w:rsid w:val="00361552"/>
    <w:rsid w:val="00463F1A"/>
    <w:rsid w:val="0053024D"/>
    <w:rsid w:val="0058786A"/>
    <w:rsid w:val="006758E5"/>
    <w:rsid w:val="00686AD1"/>
    <w:rsid w:val="00692A90"/>
    <w:rsid w:val="006A1C45"/>
    <w:rsid w:val="00853D21"/>
    <w:rsid w:val="00882216"/>
    <w:rsid w:val="00883E06"/>
    <w:rsid w:val="008E748A"/>
    <w:rsid w:val="00991177"/>
    <w:rsid w:val="00A42747"/>
    <w:rsid w:val="00A76AC6"/>
    <w:rsid w:val="00CA5CAD"/>
    <w:rsid w:val="00D44904"/>
    <w:rsid w:val="00D544F3"/>
    <w:rsid w:val="00EA0F01"/>
    <w:rsid w:val="00F42AAD"/>
    <w:rsid w:val="00F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803C9-7A87-4140-81E0-788A65D8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D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86AD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D4781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2A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2AAD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F42A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EA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6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3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17F2BB-2EC6-4681-9684-0BF82EEA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Hallazi Mendez</dc:creator>
  <cp:keywords/>
  <dc:description/>
  <cp:lastModifiedBy>Full name</cp:lastModifiedBy>
  <cp:revision>3</cp:revision>
  <dcterms:created xsi:type="dcterms:W3CDTF">2018-02-01T16:41:00Z</dcterms:created>
  <dcterms:modified xsi:type="dcterms:W3CDTF">2018-02-02T20:13:00Z</dcterms:modified>
</cp:coreProperties>
</file>